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0D0A" w14:textId="3518C345" w:rsidR="00D86A93" w:rsidRPr="00E9679C" w:rsidRDefault="009B71CE" w:rsidP="00E9679C">
      <w:pPr>
        <w:jc w:val="center"/>
        <w:rPr>
          <w:b/>
          <w:bCs/>
          <w:sz w:val="32"/>
          <w:szCs w:val="32"/>
          <w:u w:val="single"/>
          <w:lang w:val="en-US"/>
        </w:rPr>
      </w:pPr>
      <w:r w:rsidRPr="00E9679C">
        <w:rPr>
          <w:b/>
          <w:bCs/>
          <w:sz w:val="32"/>
          <w:szCs w:val="32"/>
          <w:u w:val="single"/>
          <w:lang w:val="en-US"/>
        </w:rPr>
        <w:t>MU Clubs &amp; Societies Membership Policy</w:t>
      </w:r>
    </w:p>
    <w:p w14:paraId="1207FE65" w14:textId="49749ECC" w:rsidR="009B71CE" w:rsidRPr="00E9679C" w:rsidRDefault="009B71CE">
      <w:pPr>
        <w:rPr>
          <w:sz w:val="24"/>
          <w:szCs w:val="24"/>
          <w:lang w:val="en-US"/>
        </w:rPr>
      </w:pPr>
    </w:p>
    <w:p w14:paraId="614577CC" w14:textId="788F8AEF" w:rsidR="00E9679C" w:rsidRDefault="00E9679C">
      <w:pPr>
        <w:rPr>
          <w:sz w:val="24"/>
          <w:szCs w:val="24"/>
          <w:lang w:val="en-US"/>
        </w:rPr>
      </w:pPr>
      <w:r>
        <w:rPr>
          <w:sz w:val="24"/>
          <w:szCs w:val="24"/>
          <w:lang w:val="en-US"/>
        </w:rPr>
        <w:t>There shall be 2 classifications of memberships allowable within a MU Clubs or Society:</w:t>
      </w:r>
    </w:p>
    <w:p w14:paraId="35D1F354" w14:textId="2FDBFA09" w:rsidR="00E9679C" w:rsidRPr="00E9679C" w:rsidRDefault="00E9679C" w:rsidP="00E9679C">
      <w:pPr>
        <w:pStyle w:val="ListParagraph"/>
        <w:numPr>
          <w:ilvl w:val="0"/>
          <w:numId w:val="4"/>
        </w:numPr>
        <w:rPr>
          <w:b/>
          <w:bCs/>
          <w:sz w:val="24"/>
          <w:szCs w:val="24"/>
          <w:lang w:val="en-US"/>
        </w:rPr>
      </w:pPr>
      <w:r w:rsidRPr="00E9679C">
        <w:rPr>
          <w:b/>
          <w:bCs/>
          <w:sz w:val="24"/>
          <w:szCs w:val="24"/>
          <w:lang w:val="en-US"/>
        </w:rPr>
        <w:t>Full Membership</w:t>
      </w:r>
    </w:p>
    <w:p w14:paraId="2514045C" w14:textId="16C1C4C1" w:rsidR="00E9679C" w:rsidRPr="00E9679C" w:rsidRDefault="00E9679C" w:rsidP="00E9679C">
      <w:pPr>
        <w:pStyle w:val="ListParagraph"/>
        <w:numPr>
          <w:ilvl w:val="0"/>
          <w:numId w:val="4"/>
        </w:numPr>
        <w:rPr>
          <w:b/>
          <w:bCs/>
          <w:sz w:val="24"/>
          <w:szCs w:val="24"/>
          <w:lang w:val="en-US"/>
        </w:rPr>
      </w:pPr>
      <w:r w:rsidRPr="00E9679C">
        <w:rPr>
          <w:b/>
          <w:bCs/>
          <w:sz w:val="24"/>
          <w:szCs w:val="24"/>
          <w:lang w:val="en-US"/>
        </w:rPr>
        <w:t>Associate Membership</w:t>
      </w:r>
    </w:p>
    <w:p w14:paraId="19FCC8E2" w14:textId="141413BA" w:rsidR="00E9679C" w:rsidRPr="00E9679C" w:rsidRDefault="00E9679C">
      <w:pPr>
        <w:rPr>
          <w:b/>
          <w:bCs/>
          <w:sz w:val="24"/>
          <w:szCs w:val="24"/>
          <w:lang w:val="en-US"/>
        </w:rPr>
      </w:pPr>
      <w:r w:rsidRPr="00E9679C">
        <w:rPr>
          <w:b/>
          <w:bCs/>
          <w:sz w:val="24"/>
          <w:szCs w:val="24"/>
          <w:lang w:val="en-US"/>
        </w:rPr>
        <w:t>Full Membership of Clubs &amp; Societies</w:t>
      </w:r>
    </w:p>
    <w:p w14:paraId="783D3A02" w14:textId="56FDDC6D" w:rsidR="009B71CE" w:rsidRPr="00E9679C" w:rsidRDefault="009B71CE">
      <w:pPr>
        <w:rPr>
          <w:sz w:val="24"/>
          <w:szCs w:val="24"/>
          <w:lang w:val="en-US"/>
        </w:rPr>
      </w:pPr>
      <w:r w:rsidRPr="00E9679C">
        <w:rPr>
          <w:sz w:val="24"/>
          <w:szCs w:val="24"/>
          <w:lang w:val="en-US"/>
        </w:rPr>
        <w:t>The Clubs &amp; Societies Committee, and as outlined in the Clubs &amp; Societies Standard Constitution, states that full membership of a club or society is open to:</w:t>
      </w:r>
    </w:p>
    <w:p w14:paraId="6B353D3F" w14:textId="2821C765" w:rsidR="009B71CE" w:rsidRPr="00E9679C" w:rsidRDefault="009B71CE" w:rsidP="009B71CE">
      <w:pPr>
        <w:ind w:left="720"/>
        <w:rPr>
          <w:i/>
          <w:iCs/>
          <w:sz w:val="24"/>
          <w:szCs w:val="24"/>
          <w:lang w:val="en-US"/>
        </w:rPr>
      </w:pPr>
      <w:r w:rsidRPr="00E9679C">
        <w:rPr>
          <w:i/>
          <w:iCs/>
          <w:sz w:val="24"/>
          <w:szCs w:val="24"/>
          <w:lang w:val="en-US"/>
        </w:rPr>
        <w:t>“…all registered students of the National University of Ireland, Maynooth (Maynooth University); St. Patrick’s College, Maynooth (SPCM); the Pontifical University and National Seminary of Ireland upon payment of a subscription fee as set by the Governing Executive Committee (GEC) of the Club or Society and in accordance with the guidelines set out by the Clubs &amp; Societies Committee.”</w:t>
      </w:r>
    </w:p>
    <w:p w14:paraId="5D8F0C96" w14:textId="45AA3CC1" w:rsidR="00E9679C" w:rsidRPr="00E9679C" w:rsidRDefault="00E9679C" w:rsidP="009B71CE">
      <w:pPr>
        <w:rPr>
          <w:b/>
          <w:bCs/>
          <w:sz w:val="24"/>
          <w:szCs w:val="24"/>
          <w:lang w:val="en-US"/>
        </w:rPr>
      </w:pPr>
      <w:r w:rsidRPr="00E9679C">
        <w:rPr>
          <w:b/>
          <w:bCs/>
          <w:sz w:val="24"/>
          <w:szCs w:val="24"/>
          <w:lang w:val="en-US"/>
        </w:rPr>
        <w:t>Rights of Full Members of Clubs &amp; Societies</w:t>
      </w:r>
    </w:p>
    <w:p w14:paraId="32EB2F8E" w14:textId="10065246" w:rsidR="009B71CE" w:rsidRPr="00E9679C" w:rsidRDefault="009B71CE" w:rsidP="009B71CE">
      <w:pPr>
        <w:rPr>
          <w:sz w:val="24"/>
          <w:szCs w:val="24"/>
          <w:lang w:val="en-US"/>
        </w:rPr>
      </w:pPr>
      <w:r w:rsidRPr="00E9679C">
        <w:rPr>
          <w:sz w:val="24"/>
          <w:szCs w:val="24"/>
          <w:lang w:val="en-US"/>
        </w:rPr>
        <w:t>According to the Clubs &amp; Societies Standard Constitution, full member of a club or society are:</w:t>
      </w:r>
    </w:p>
    <w:p w14:paraId="2F4A51B9" w14:textId="77777777" w:rsidR="009B71CE" w:rsidRPr="00E9679C" w:rsidRDefault="009B71CE" w:rsidP="009B71CE">
      <w:pPr>
        <w:pStyle w:val="paragraph"/>
        <w:numPr>
          <w:ilvl w:val="0"/>
          <w:numId w:val="3"/>
        </w:numPr>
        <w:spacing w:before="0" w:beforeAutospacing="0" w:after="0" w:afterAutospacing="0"/>
        <w:textAlignment w:val="baseline"/>
        <w:rPr>
          <w:rFonts w:ascii="Calibri" w:hAnsi="Calibri" w:cs="Calibri"/>
        </w:rPr>
      </w:pPr>
      <w:r w:rsidRPr="00E9679C">
        <w:rPr>
          <w:rStyle w:val="normaltextrun"/>
          <w:rFonts w:ascii="Calibri" w:hAnsi="Calibri" w:cs="Calibri"/>
        </w:rPr>
        <w:t>Entitled to attend and speak at all general meetings of the Club/Society</w:t>
      </w:r>
      <w:r w:rsidRPr="00E9679C">
        <w:rPr>
          <w:rStyle w:val="eop"/>
          <w:rFonts w:ascii="Calibri" w:eastAsiaTheme="majorEastAsia" w:hAnsi="Calibri" w:cs="Calibri"/>
        </w:rPr>
        <w:t> </w:t>
      </w:r>
    </w:p>
    <w:p w14:paraId="512DEBAA" w14:textId="77777777" w:rsidR="009B71CE" w:rsidRPr="00E9679C" w:rsidRDefault="009B71CE" w:rsidP="009B71CE">
      <w:pPr>
        <w:pStyle w:val="paragraph"/>
        <w:numPr>
          <w:ilvl w:val="0"/>
          <w:numId w:val="3"/>
        </w:numPr>
        <w:spacing w:before="0" w:beforeAutospacing="0" w:after="0" w:afterAutospacing="0"/>
        <w:textAlignment w:val="baseline"/>
        <w:rPr>
          <w:rFonts w:ascii="Calibri" w:hAnsi="Calibri" w:cs="Calibri"/>
        </w:rPr>
      </w:pPr>
      <w:r w:rsidRPr="00E9679C">
        <w:rPr>
          <w:rStyle w:val="normaltextrun"/>
          <w:rFonts w:ascii="Calibri" w:hAnsi="Calibri" w:cs="Calibri"/>
        </w:rPr>
        <w:t>Eligible for election to the Club/Society’s Governing Executive Committee</w:t>
      </w:r>
      <w:r w:rsidRPr="00E9679C">
        <w:rPr>
          <w:rStyle w:val="eop"/>
          <w:rFonts w:ascii="Calibri" w:eastAsiaTheme="majorEastAsia" w:hAnsi="Calibri" w:cs="Calibri"/>
        </w:rPr>
        <w:t> </w:t>
      </w:r>
    </w:p>
    <w:p w14:paraId="140E3FD4" w14:textId="2EE9A01D" w:rsidR="009B71CE" w:rsidRPr="00E9679C" w:rsidRDefault="009B71CE" w:rsidP="009B71CE">
      <w:pPr>
        <w:rPr>
          <w:sz w:val="24"/>
          <w:szCs w:val="24"/>
          <w:lang w:val="en-US"/>
        </w:rPr>
      </w:pPr>
    </w:p>
    <w:p w14:paraId="53B056DE" w14:textId="2C3F7310" w:rsidR="00E9679C" w:rsidRPr="00E9679C" w:rsidRDefault="00E9679C" w:rsidP="009B71CE">
      <w:pPr>
        <w:rPr>
          <w:b/>
          <w:bCs/>
          <w:sz w:val="24"/>
          <w:szCs w:val="24"/>
          <w:lang w:val="en-US"/>
        </w:rPr>
      </w:pPr>
      <w:r w:rsidRPr="00E9679C">
        <w:rPr>
          <w:b/>
          <w:bCs/>
          <w:sz w:val="24"/>
          <w:szCs w:val="24"/>
          <w:lang w:val="en-US"/>
        </w:rPr>
        <w:t>Associate Membership of Clubs &amp; Societies</w:t>
      </w:r>
    </w:p>
    <w:p w14:paraId="32D2C1A5" w14:textId="19BBD6E0" w:rsidR="009B71CE" w:rsidRPr="00E9679C" w:rsidRDefault="009B71CE" w:rsidP="009B71CE">
      <w:pPr>
        <w:rPr>
          <w:sz w:val="24"/>
          <w:szCs w:val="24"/>
          <w:lang w:val="en-US"/>
        </w:rPr>
      </w:pPr>
      <w:r w:rsidRPr="00E9679C">
        <w:rPr>
          <w:sz w:val="24"/>
          <w:szCs w:val="24"/>
          <w:lang w:val="en-US"/>
        </w:rPr>
        <w:t>There shall also be a class of Associate Membership will be open to:</w:t>
      </w:r>
    </w:p>
    <w:p w14:paraId="17592D48" w14:textId="77777777" w:rsidR="009B71CE" w:rsidRPr="00E9679C" w:rsidRDefault="009B71CE" w:rsidP="009B71CE">
      <w:pPr>
        <w:ind w:left="720"/>
        <w:rPr>
          <w:i/>
          <w:iCs/>
          <w:sz w:val="24"/>
          <w:szCs w:val="24"/>
        </w:rPr>
      </w:pPr>
      <w:r w:rsidRPr="00E9679C">
        <w:rPr>
          <w:i/>
          <w:iCs/>
          <w:sz w:val="24"/>
          <w:szCs w:val="24"/>
        </w:rPr>
        <w:t>“…all staff and alumni of MAYNOOTH UNIVERSITY and SPCM upon payment of a subscription fee as set by the Governing Executive Committee of the Club/Society in consultation with the MU Clubs and Societies Committee. The associate membership fee shall not be less than the ordinary membership fee and no more than 10 times the ordinary membership fee.”</w:t>
      </w:r>
    </w:p>
    <w:p w14:paraId="64BBB13F" w14:textId="0E3BF7AD" w:rsidR="009B71CE" w:rsidRPr="00E9679C" w:rsidRDefault="00E9679C" w:rsidP="009B71CE">
      <w:pPr>
        <w:rPr>
          <w:b/>
          <w:bCs/>
          <w:sz w:val="24"/>
          <w:szCs w:val="24"/>
        </w:rPr>
      </w:pPr>
      <w:r w:rsidRPr="00E9679C">
        <w:rPr>
          <w:b/>
          <w:bCs/>
          <w:sz w:val="24"/>
          <w:szCs w:val="24"/>
        </w:rPr>
        <w:t>Rights of Associate Members of Clubs &amp; Societies</w:t>
      </w:r>
    </w:p>
    <w:p w14:paraId="54F43EB3" w14:textId="62F3913A" w:rsidR="00E9679C" w:rsidRPr="00E9679C" w:rsidRDefault="009B71CE" w:rsidP="009B71CE">
      <w:pPr>
        <w:rPr>
          <w:rStyle w:val="normaltextrun"/>
          <w:rFonts w:ascii="Calibri" w:hAnsi="Calibri" w:cs="Calibri"/>
          <w:color w:val="000000"/>
          <w:sz w:val="24"/>
          <w:szCs w:val="24"/>
          <w:shd w:val="clear" w:color="auto" w:fill="FFFFFF"/>
        </w:rPr>
      </w:pPr>
      <w:r w:rsidRPr="00E9679C">
        <w:rPr>
          <w:sz w:val="24"/>
          <w:szCs w:val="24"/>
        </w:rPr>
        <w:t>Associate Members will</w:t>
      </w:r>
      <w:r w:rsidR="00E9679C" w:rsidRPr="00E9679C">
        <w:rPr>
          <w:sz w:val="24"/>
          <w:szCs w:val="24"/>
        </w:rPr>
        <w:t xml:space="preserve"> </w:t>
      </w:r>
      <w:r w:rsidR="00E9679C">
        <w:rPr>
          <w:sz w:val="24"/>
          <w:szCs w:val="24"/>
        </w:rPr>
        <w:t xml:space="preserve">be </w:t>
      </w:r>
      <w:r w:rsidR="00E9679C" w:rsidRPr="00E9679C">
        <w:rPr>
          <w:rStyle w:val="normaltextrun"/>
          <w:rFonts w:ascii="Calibri" w:hAnsi="Calibri" w:cs="Calibri"/>
          <w:color w:val="000000"/>
          <w:sz w:val="24"/>
          <w:szCs w:val="24"/>
          <w:shd w:val="clear" w:color="auto" w:fill="FFFFFF"/>
        </w:rPr>
        <w:t>entitled to attend and speak at all general meetings of the Club/Society. Eligibility of Alumni to compete on behalf of Maynooth University / SPCM will be determined by the relevant National Governing Body (NGB).</w:t>
      </w:r>
    </w:p>
    <w:p w14:paraId="08712D27" w14:textId="32B6C256" w:rsidR="00E9679C" w:rsidRDefault="00E9679C" w:rsidP="009B71CE">
      <w:pPr>
        <w:rPr>
          <w:sz w:val="24"/>
          <w:szCs w:val="24"/>
        </w:rPr>
      </w:pPr>
      <w:r>
        <w:rPr>
          <w:sz w:val="24"/>
          <w:szCs w:val="24"/>
        </w:rPr>
        <w:t xml:space="preserve">Associate Members WILL NOT have voting rights and are ineligible for election to a Club or Society’s Governing Executive Committee (GEC). The rights of an Associate Member SHOULD NOT exceed those of a full member of a club or society. </w:t>
      </w:r>
    </w:p>
    <w:p w14:paraId="284A2267" w14:textId="70C6A00B" w:rsidR="00E9679C" w:rsidRDefault="00E9679C" w:rsidP="009B71CE">
      <w:pPr>
        <w:rPr>
          <w:sz w:val="24"/>
          <w:szCs w:val="24"/>
        </w:rPr>
      </w:pPr>
      <w:r>
        <w:rPr>
          <w:sz w:val="24"/>
          <w:szCs w:val="24"/>
        </w:rPr>
        <w:t xml:space="preserve">Only the MU Clubs &amp; Societies Committee can determine any other rights to be bestowed on </w:t>
      </w:r>
      <w:r w:rsidR="00D0448D">
        <w:rPr>
          <w:sz w:val="24"/>
          <w:szCs w:val="24"/>
        </w:rPr>
        <w:t xml:space="preserve">Associate Members. </w:t>
      </w:r>
    </w:p>
    <w:p w14:paraId="6085238A" w14:textId="611DD0CE" w:rsidR="00E9679C" w:rsidRPr="00E9679C" w:rsidRDefault="00E9679C" w:rsidP="009B71CE">
      <w:pPr>
        <w:rPr>
          <w:b/>
          <w:bCs/>
          <w:sz w:val="24"/>
          <w:szCs w:val="24"/>
        </w:rPr>
      </w:pPr>
      <w:r>
        <w:rPr>
          <w:b/>
          <w:bCs/>
          <w:sz w:val="24"/>
          <w:szCs w:val="24"/>
        </w:rPr>
        <w:lastRenderedPageBreak/>
        <w:t>ALL members of a club or society will be bound by their Clubs or Society constitution as well as rule, regulations, policies and decisions of the MU Clubs &amp; Societies Committee</w:t>
      </w:r>
    </w:p>
    <w:p w14:paraId="678BA295" w14:textId="753914D8" w:rsidR="00D0448D" w:rsidRDefault="009B71CE" w:rsidP="009B71CE">
      <w:pPr>
        <w:rPr>
          <w:i/>
          <w:iCs/>
          <w:sz w:val="24"/>
          <w:szCs w:val="24"/>
        </w:rPr>
      </w:pPr>
      <w:r w:rsidRPr="00E9679C">
        <w:rPr>
          <w:i/>
          <w:iCs/>
          <w:sz w:val="24"/>
          <w:szCs w:val="24"/>
        </w:rPr>
        <w:t>  </w:t>
      </w:r>
    </w:p>
    <w:p w14:paraId="29E19064" w14:textId="47ADAF89" w:rsidR="00D0448D" w:rsidRPr="00D0448D" w:rsidRDefault="00D0448D" w:rsidP="009B71CE">
      <w:pPr>
        <w:rPr>
          <w:b/>
          <w:bCs/>
          <w:sz w:val="24"/>
          <w:szCs w:val="24"/>
        </w:rPr>
      </w:pPr>
      <w:r>
        <w:rPr>
          <w:b/>
          <w:bCs/>
          <w:sz w:val="24"/>
          <w:szCs w:val="24"/>
        </w:rPr>
        <w:t>Clubs &amp; Societies Annual Subscription Charge</w:t>
      </w:r>
    </w:p>
    <w:p w14:paraId="5F379795" w14:textId="77777777" w:rsidR="004C2912" w:rsidRDefault="00E9679C">
      <w:pPr>
        <w:rPr>
          <w:sz w:val="24"/>
          <w:szCs w:val="24"/>
          <w:lang w:val="en-US"/>
        </w:rPr>
      </w:pPr>
      <w:r>
        <w:rPr>
          <w:sz w:val="24"/>
          <w:szCs w:val="24"/>
          <w:lang w:val="en-US"/>
        </w:rPr>
        <w:t>With this in mind, t</w:t>
      </w:r>
      <w:r w:rsidR="009B71CE" w:rsidRPr="00E9679C">
        <w:rPr>
          <w:sz w:val="24"/>
          <w:szCs w:val="24"/>
          <w:lang w:val="en-US"/>
        </w:rPr>
        <w:t>he Clubs &amp; Societies</w:t>
      </w:r>
      <w:r>
        <w:rPr>
          <w:sz w:val="24"/>
          <w:szCs w:val="24"/>
          <w:lang w:val="en-US"/>
        </w:rPr>
        <w:t xml:space="preserve"> Committee will </w:t>
      </w:r>
      <w:r w:rsidR="00D0448D">
        <w:rPr>
          <w:sz w:val="24"/>
          <w:szCs w:val="24"/>
          <w:lang w:val="en-US"/>
        </w:rPr>
        <w:t xml:space="preserve">determine on an annual basis the </w:t>
      </w:r>
      <w:r w:rsidR="00B643C9">
        <w:rPr>
          <w:sz w:val="24"/>
          <w:szCs w:val="24"/>
          <w:lang w:val="en-US"/>
        </w:rPr>
        <w:t xml:space="preserve">minimum </w:t>
      </w:r>
      <w:r w:rsidR="00D0448D">
        <w:rPr>
          <w:sz w:val="24"/>
          <w:szCs w:val="24"/>
          <w:lang w:val="en-US"/>
        </w:rPr>
        <w:t>subscription fee to be charged to registered students in order to become a full member of a club or society for a particular academic year.</w:t>
      </w:r>
      <w:r w:rsidR="00B643C9">
        <w:rPr>
          <w:sz w:val="24"/>
          <w:szCs w:val="24"/>
          <w:lang w:val="en-US"/>
        </w:rPr>
        <w:t xml:space="preserve"> If a club or society wishes to charge more than the </w:t>
      </w:r>
      <w:r w:rsidR="002D0BBA">
        <w:rPr>
          <w:sz w:val="24"/>
          <w:szCs w:val="24"/>
          <w:lang w:val="en-US"/>
        </w:rPr>
        <w:t xml:space="preserve">minimum subscription fee, they need to inform the Clubs &amp; Societies Office </w:t>
      </w:r>
      <w:r w:rsidR="00745E2A">
        <w:rPr>
          <w:sz w:val="24"/>
          <w:szCs w:val="24"/>
          <w:lang w:val="en-US"/>
        </w:rPr>
        <w:t xml:space="preserve">of their intention </w:t>
      </w:r>
      <w:r w:rsidR="00121275">
        <w:rPr>
          <w:sz w:val="24"/>
          <w:szCs w:val="24"/>
          <w:lang w:val="en-US"/>
        </w:rPr>
        <w:t xml:space="preserve">to do so along with a brief explanation as to the reason for the increased charge </w:t>
      </w:r>
      <w:r w:rsidR="00DE121C">
        <w:rPr>
          <w:sz w:val="24"/>
          <w:szCs w:val="24"/>
          <w:lang w:val="en-US"/>
        </w:rPr>
        <w:t>before the start of t</w:t>
      </w:r>
      <w:r w:rsidR="004C2912">
        <w:rPr>
          <w:sz w:val="24"/>
          <w:szCs w:val="24"/>
          <w:lang w:val="en-US"/>
        </w:rPr>
        <w:t>he relevant academic year.</w:t>
      </w:r>
    </w:p>
    <w:p w14:paraId="13D78E1A" w14:textId="10A91356" w:rsidR="00D0448D" w:rsidRDefault="00D0448D">
      <w:pPr>
        <w:rPr>
          <w:sz w:val="24"/>
          <w:szCs w:val="24"/>
          <w:lang w:val="en-US"/>
        </w:rPr>
      </w:pPr>
      <w:r>
        <w:rPr>
          <w:sz w:val="24"/>
          <w:szCs w:val="24"/>
          <w:lang w:val="en-US"/>
        </w:rPr>
        <w:t xml:space="preserve">The </w:t>
      </w:r>
      <w:r w:rsidR="004C2912">
        <w:rPr>
          <w:sz w:val="24"/>
          <w:szCs w:val="24"/>
          <w:lang w:val="en-US"/>
        </w:rPr>
        <w:t xml:space="preserve">Clubs &amp; Societies </w:t>
      </w:r>
      <w:r>
        <w:rPr>
          <w:sz w:val="24"/>
          <w:szCs w:val="24"/>
          <w:lang w:val="en-US"/>
        </w:rPr>
        <w:t xml:space="preserve">Committee will meet no later than the end of May of each year to decide on the Clubs and Societies subscription charge for the following academic year. For example, the Clubs &amp; Societies Committee will meet before the end of May 2021 in order to decide on the </w:t>
      </w:r>
      <w:r w:rsidR="00707625">
        <w:rPr>
          <w:sz w:val="24"/>
          <w:szCs w:val="24"/>
          <w:lang w:val="en-US"/>
        </w:rPr>
        <w:t xml:space="preserve">minimum </w:t>
      </w:r>
      <w:r>
        <w:rPr>
          <w:sz w:val="24"/>
          <w:szCs w:val="24"/>
          <w:lang w:val="en-US"/>
        </w:rPr>
        <w:t xml:space="preserve">subscription charge for 2021 / 22 academic year. </w:t>
      </w:r>
    </w:p>
    <w:p w14:paraId="09EA3B02" w14:textId="16898258" w:rsidR="00D0448D" w:rsidRPr="009A2489" w:rsidRDefault="00D0448D" w:rsidP="00B33228">
      <w:pPr>
        <w:pStyle w:val="Heading3"/>
        <w:rPr>
          <w:color w:val="auto"/>
          <w:lang w:val="en-US"/>
        </w:rPr>
      </w:pPr>
      <w:r w:rsidRPr="009A2489">
        <w:rPr>
          <w:color w:val="auto"/>
          <w:lang w:val="en-US"/>
        </w:rPr>
        <w:t xml:space="preserve">As per the Clubs &amp; Societies Standard Constitution </w:t>
      </w:r>
      <w:r w:rsidR="00B33228" w:rsidRPr="009A2489">
        <w:rPr>
          <w:color w:val="auto"/>
          <w:lang w:val="en-US"/>
        </w:rPr>
        <w:t xml:space="preserve">the full membership subscription fee will dictate the subscription charge that can be charged to associate members, i.e. “the associate membership fee shall not be less than the ordinary membership fee and no more than 10 times the ordinary membership fee.” Currently this means that fee for associate membership can range between a minimum of €2 and a maximum of €20. </w:t>
      </w:r>
    </w:p>
    <w:p w14:paraId="161188EA" w14:textId="77777777" w:rsidR="00D0448D" w:rsidRDefault="00D0448D">
      <w:pPr>
        <w:rPr>
          <w:sz w:val="24"/>
          <w:szCs w:val="24"/>
          <w:lang w:val="en-US"/>
        </w:rPr>
      </w:pPr>
    </w:p>
    <w:p w14:paraId="50025F9D" w14:textId="5F0B7853" w:rsidR="00D0448D" w:rsidRPr="00B33228" w:rsidRDefault="00B33228" w:rsidP="00B33228">
      <w:pPr>
        <w:jc w:val="center"/>
        <w:rPr>
          <w:b/>
          <w:bCs/>
          <w:sz w:val="28"/>
          <w:szCs w:val="28"/>
          <w:u w:val="single"/>
          <w:lang w:val="en-US"/>
        </w:rPr>
      </w:pPr>
      <w:r w:rsidRPr="00B33228">
        <w:rPr>
          <w:b/>
          <w:bCs/>
          <w:sz w:val="28"/>
          <w:szCs w:val="28"/>
          <w:u w:val="single"/>
          <w:lang w:val="en-US"/>
        </w:rPr>
        <w:t>Clubs &amp; Societies Membership Fee Records</w:t>
      </w:r>
    </w:p>
    <w:tbl>
      <w:tblPr>
        <w:tblStyle w:val="TableGrid"/>
        <w:tblW w:w="9072" w:type="dxa"/>
        <w:tblInd w:w="-5" w:type="dxa"/>
        <w:tblLook w:val="04A0" w:firstRow="1" w:lastRow="0" w:firstColumn="1" w:lastColumn="0" w:noHBand="0" w:noVBand="1"/>
      </w:tblPr>
      <w:tblGrid>
        <w:gridCol w:w="1985"/>
        <w:gridCol w:w="2528"/>
        <w:gridCol w:w="2858"/>
        <w:gridCol w:w="1701"/>
      </w:tblGrid>
      <w:tr w:rsidR="00D0448D" w14:paraId="143479AC" w14:textId="77777777" w:rsidTr="00B33228">
        <w:tc>
          <w:tcPr>
            <w:tcW w:w="1985" w:type="dxa"/>
          </w:tcPr>
          <w:p w14:paraId="375DD438" w14:textId="57C9A290" w:rsidR="00D0448D" w:rsidRPr="00D0448D" w:rsidRDefault="00D0448D" w:rsidP="00D0448D">
            <w:pPr>
              <w:jc w:val="center"/>
              <w:rPr>
                <w:b/>
                <w:bCs/>
                <w:sz w:val="24"/>
                <w:szCs w:val="24"/>
                <w:lang w:val="en-US"/>
              </w:rPr>
            </w:pPr>
            <w:r w:rsidRPr="00D0448D">
              <w:rPr>
                <w:b/>
                <w:bCs/>
                <w:sz w:val="24"/>
                <w:szCs w:val="24"/>
                <w:lang w:val="en-US"/>
              </w:rPr>
              <w:t>ACADEMIC YEAR</w:t>
            </w:r>
          </w:p>
        </w:tc>
        <w:tc>
          <w:tcPr>
            <w:tcW w:w="2528" w:type="dxa"/>
          </w:tcPr>
          <w:p w14:paraId="25A3464E" w14:textId="144BDCA0" w:rsidR="00D0448D" w:rsidRPr="00D0448D" w:rsidRDefault="00D0448D" w:rsidP="00D0448D">
            <w:pPr>
              <w:jc w:val="center"/>
              <w:rPr>
                <w:b/>
                <w:bCs/>
                <w:sz w:val="24"/>
                <w:szCs w:val="24"/>
                <w:lang w:val="en-US"/>
              </w:rPr>
            </w:pPr>
            <w:r w:rsidRPr="00D0448D">
              <w:rPr>
                <w:b/>
                <w:bCs/>
                <w:sz w:val="24"/>
                <w:szCs w:val="24"/>
                <w:lang w:val="en-US"/>
              </w:rPr>
              <w:t>FULL MEMBERSHIP</w:t>
            </w:r>
          </w:p>
        </w:tc>
        <w:tc>
          <w:tcPr>
            <w:tcW w:w="2858" w:type="dxa"/>
          </w:tcPr>
          <w:p w14:paraId="03CCEFA3" w14:textId="516485B8" w:rsidR="00D0448D" w:rsidRPr="00D0448D" w:rsidRDefault="00D0448D" w:rsidP="00D0448D">
            <w:pPr>
              <w:jc w:val="center"/>
              <w:rPr>
                <w:b/>
                <w:bCs/>
                <w:sz w:val="24"/>
                <w:szCs w:val="24"/>
                <w:lang w:val="en-US"/>
              </w:rPr>
            </w:pPr>
            <w:r w:rsidRPr="00D0448D">
              <w:rPr>
                <w:b/>
                <w:bCs/>
                <w:sz w:val="24"/>
                <w:szCs w:val="24"/>
                <w:lang w:val="en-US"/>
              </w:rPr>
              <w:t>ASSOCIATE MEMBERSHIP</w:t>
            </w:r>
          </w:p>
        </w:tc>
        <w:tc>
          <w:tcPr>
            <w:tcW w:w="1701" w:type="dxa"/>
          </w:tcPr>
          <w:p w14:paraId="6811F6C3" w14:textId="3CDF77E8" w:rsidR="00D0448D" w:rsidRPr="00D0448D" w:rsidRDefault="00D0448D" w:rsidP="00D0448D">
            <w:pPr>
              <w:jc w:val="center"/>
              <w:rPr>
                <w:b/>
                <w:bCs/>
                <w:sz w:val="24"/>
                <w:szCs w:val="24"/>
                <w:lang w:val="en-US"/>
              </w:rPr>
            </w:pPr>
            <w:r w:rsidRPr="00D0448D">
              <w:rPr>
                <w:b/>
                <w:bCs/>
                <w:sz w:val="24"/>
                <w:szCs w:val="24"/>
                <w:lang w:val="en-US"/>
              </w:rPr>
              <w:t>DATE DECIDED</w:t>
            </w:r>
          </w:p>
        </w:tc>
      </w:tr>
      <w:tr w:rsidR="00D0448D" w14:paraId="48DB6ADD" w14:textId="77777777" w:rsidTr="00B33228">
        <w:tc>
          <w:tcPr>
            <w:tcW w:w="1985" w:type="dxa"/>
          </w:tcPr>
          <w:p w14:paraId="3C2C855D" w14:textId="2EA0B31E" w:rsidR="00D0448D" w:rsidRPr="00D0448D" w:rsidRDefault="00D0448D" w:rsidP="00D0448D">
            <w:pPr>
              <w:jc w:val="center"/>
              <w:rPr>
                <w:b/>
                <w:bCs/>
                <w:sz w:val="24"/>
                <w:szCs w:val="24"/>
                <w:lang w:val="en-US"/>
              </w:rPr>
            </w:pPr>
            <w:r w:rsidRPr="00D0448D">
              <w:rPr>
                <w:b/>
                <w:bCs/>
                <w:sz w:val="24"/>
                <w:szCs w:val="24"/>
                <w:lang w:val="en-US"/>
              </w:rPr>
              <w:t>2019/20</w:t>
            </w:r>
          </w:p>
        </w:tc>
        <w:tc>
          <w:tcPr>
            <w:tcW w:w="2528" w:type="dxa"/>
          </w:tcPr>
          <w:p w14:paraId="13051E60" w14:textId="57037EF5" w:rsidR="00D0448D" w:rsidRDefault="00D0448D" w:rsidP="00D0448D">
            <w:pPr>
              <w:jc w:val="center"/>
              <w:rPr>
                <w:sz w:val="24"/>
                <w:szCs w:val="24"/>
                <w:lang w:val="en-US"/>
              </w:rPr>
            </w:pPr>
            <w:r>
              <w:rPr>
                <w:sz w:val="24"/>
                <w:szCs w:val="24"/>
                <w:lang w:val="en-US"/>
              </w:rPr>
              <w:t>€2</w:t>
            </w:r>
          </w:p>
        </w:tc>
        <w:tc>
          <w:tcPr>
            <w:tcW w:w="2858" w:type="dxa"/>
          </w:tcPr>
          <w:p w14:paraId="466AF755" w14:textId="7DD43EA5" w:rsidR="00D0448D" w:rsidRDefault="00D0448D" w:rsidP="00D0448D">
            <w:pPr>
              <w:jc w:val="center"/>
              <w:rPr>
                <w:sz w:val="24"/>
                <w:szCs w:val="24"/>
                <w:lang w:val="en-US"/>
              </w:rPr>
            </w:pPr>
            <w:r>
              <w:rPr>
                <w:sz w:val="24"/>
                <w:szCs w:val="24"/>
                <w:lang w:val="en-US"/>
              </w:rPr>
              <w:t>Up to a maximum of €20</w:t>
            </w:r>
          </w:p>
        </w:tc>
        <w:tc>
          <w:tcPr>
            <w:tcW w:w="1701" w:type="dxa"/>
          </w:tcPr>
          <w:p w14:paraId="109F4309" w14:textId="316D933A" w:rsidR="00D0448D" w:rsidRDefault="00D0448D" w:rsidP="00D0448D">
            <w:pPr>
              <w:jc w:val="center"/>
              <w:rPr>
                <w:sz w:val="24"/>
                <w:szCs w:val="24"/>
                <w:lang w:val="en-US"/>
              </w:rPr>
            </w:pPr>
            <w:r>
              <w:rPr>
                <w:sz w:val="24"/>
                <w:szCs w:val="24"/>
                <w:lang w:val="en-US"/>
              </w:rPr>
              <w:t>N/A</w:t>
            </w:r>
          </w:p>
        </w:tc>
      </w:tr>
      <w:tr w:rsidR="00D0448D" w14:paraId="167C64F2" w14:textId="77777777" w:rsidTr="00B33228">
        <w:tc>
          <w:tcPr>
            <w:tcW w:w="1985" w:type="dxa"/>
          </w:tcPr>
          <w:p w14:paraId="249F7BC6" w14:textId="7D01BCDB" w:rsidR="00D0448D" w:rsidRPr="00D0448D" w:rsidRDefault="00D0448D" w:rsidP="00D0448D">
            <w:pPr>
              <w:jc w:val="center"/>
              <w:rPr>
                <w:b/>
                <w:bCs/>
                <w:sz w:val="24"/>
                <w:szCs w:val="24"/>
                <w:lang w:val="en-US"/>
              </w:rPr>
            </w:pPr>
            <w:r w:rsidRPr="00D0448D">
              <w:rPr>
                <w:b/>
                <w:bCs/>
                <w:sz w:val="24"/>
                <w:szCs w:val="24"/>
                <w:lang w:val="en-US"/>
              </w:rPr>
              <w:t>2020/21</w:t>
            </w:r>
          </w:p>
        </w:tc>
        <w:tc>
          <w:tcPr>
            <w:tcW w:w="2528" w:type="dxa"/>
          </w:tcPr>
          <w:p w14:paraId="155C2C74" w14:textId="429128C4" w:rsidR="00D0448D" w:rsidRDefault="00D0448D" w:rsidP="00D0448D">
            <w:pPr>
              <w:jc w:val="center"/>
              <w:rPr>
                <w:sz w:val="24"/>
                <w:szCs w:val="24"/>
                <w:lang w:val="en-US"/>
              </w:rPr>
            </w:pPr>
            <w:r>
              <w:rPr>
                <w:sz w:val="24"/>
                <w:szCs w:val="24"/>
                <w:lang w:val="en-US"/>
              </w:rPr>
              <w:t>€2</w:t>
            </w:r>
          </w:p>
        </w:tc>
        <w:tc>
          <w:tcPr>
            <w:tcW w:w="2858" w:type="dxa"/>
          </w:tcPr>
          <w:p w14:paraId="0C222999" w14:textId="1A890A2A" w:rsidR="00D0448D" w:rsidRDefault="00D0448D" w:rsidP="00D0448D">
            <w:pPr>
              <w:jc w:val="center"/>
              <w:rPr>
                <w:sz w:val="24"/>
                <w:szCs w:val="24"/>
                <w:lang w:val="en-US"/>
              </w:rPr>
            </w:pPr>
            <w:r>
              <w:rPr>
                <w:sz w:val="24"/>
                <w:szCs w:val="24"/>
                <w:lang w:val="en-US"/>
              </w:rPr>
              <w:t>Up to a maximum of €20</w:t>
            </w:r>
          </w:p>
        </w:tc>
        <w:tc>
          <w:tcPr>
            <w:tcW w:w="1701" w:type="dxa"/>
          </w:tcPr>
          <w:p w14:paraId="15A282B0" w14:textId="149EB061" w:rsidR="00D0448D" w:rsidRDefault="00D0448D" w:rsidP="00D0448D">
            <w:pPr>
              <w:jc w:val="center"/>
              <w:rPr>
                <w:sz w:val="24"/>
                <w:szCs w:val="24"/>
                <w:lang w:val="en-US"/>
              </w:rPr>
            </w:pPr>
            <w:r>
              <w:rPr>
                <w:sz w:val="24"/>
                <w:szCs w:val="24"/>
                <w:lang w:val="en-US"/>
              </w:rPr>
              <w:t>N/A</w:t>
            </w:r>
          </w:p>
        </w:tc>
      </w:tr>
      <w:tr w:rsidR="00D0448D" w14:paraId="4CC388C2" w14:textId="77777777" w:rsidTr="00B33228">
        <w:tc>
          <w:tcPr>
            <w:tcW w:w="1985" w:type="dxa"/>
          </w:tcPr>
          <w:p w14:paraId="3D394492" w14:textId="087252F0" w:rsidR="00D0448D" w:rsidRPr="00FC0E4E" w:rsidRDefault="00D0448D" w:rsidP="00D0448D">
            <w:pPr>
              <w:jc w:val="center"/>
              <w:rPr>
                <w:b/>
                <w:bCs/>
                <w:sz w:val="24"/>
                <w:szCs w:val="24"/>
                <w:highlight w:val="yellow"/>
                <w:lang w:val="en-US"/>
              </w:rPr>
            </w:pPr>
            <w:r w:rsidRPr="00FC0E4E">
              <w:rPr>
                <w:b/>
                <w:bCs/>
                <w:sz w:val="24"/>
                <w:szCs w:val="24"/>
                <w:highlight w:val="yellow"/>
                <w:lang w:val="en-US"/>
              </w:rPr>
              <w:t>2021/22</w:t>
            </w:r>
          </w:p>
        </w:tc>
        <w:tc>
          <w:tcPr>
            <w:tcW w:w="2528" w:type="dxa"/>
          </w:tcPr>
          <w:p w14:paraId="590878C4" w14:textId="4A693EAE" w:rsidR="00D0448D" w:rsidRPr="00FC0E4E" w:rsidRDefault="00D0448D" w:rsidP="00D0448D">
            <w:pPr>
              <w:jc w:val="center"/>
              <w:rPr>
                <w:sz w:val="24"/>
                <w:szCs w:val="24"/>
                <w:highlight w:val="yellow"/>
                <w:lang w:val="en-US"/>
              </w:rPr>
            </w:pPr>
            <w:r w:rsidRPr="00FC0E4E">
              <w:rPr>
                <w:sz w:val="24"/>
                <w:szCs w:val="24"/>
                <w:highlight w:val="yellow"/>
                <w:lang w:val="en-US"/>
              </w:rPr>
              <w:t>TBC</w:t>
            </w:r>
          </w:p>
        </w:tc>
        <w:tc>
          <w:tcPr>
            <w:tcW w:w="2858" w:type="dxa"/>
          </w:tcPr>
          <w:p w14:paraId="350DEE57" w14:textId="18D6F660" w:rsidR="00D0448D" w:rsidRPr="00FC0E4E" w:rsidRDefault="00D0448D" w:rsidP="00D0448D">
            <w:pPr>
              <w:jc w:val="center"/>
              <w:rPr>
                <w:sz w:val="24"/>
                <w:szCs w:val="24"/>
                <w:highlight w:val="yellow"/>
                <w:lang w:val="en-US"/>
              </w:rPr>
            </w:pPr>
            <w:r w:rsidRPr="00FC0E4E">
              <w:rPr>
                <w:sz w:val="24"/>
                <w:szCs w:val="24"/>
                <w:highlight w:val="yellow"/>
                <w:lang w:val="en-US"/>
              </w:rPr>
              <w:t>TBC</w:t>
            </w:r>
          </w:p>
        </w:tc>
        <w:tc>
          <w:tcPr>
            <w:tcW w:w="1701" w:type="dxa"/>
          </w:tcPr>
          <w:p w14:paraId="727D5219" w14:textId="489CD3D7" w:rsidR="00D0448D" w:rsidRDefault="00D0448D" w:rsidP="00D0448D">
            <w:pPr>
              <w:jc w:val="center"/>
              <w:rPr>
                <w:sz w:val="24"/>
                <w:szCs w:val="24"/>
                <w:lang w:val="en-US"/>
              </w:rPr>
            </w:pPr>
            <w:r w:rsidRPr="00FC0E4E">
              <w:rPr>
                <w:sz w:val="24"/>
                <w:szCs w:val="24"/>
                <w:highlight w:val="yellow"/>
                <w:lang w:val="en-US"/>
              </w:rPr>
              <w:t>TBC</w:t>
            </w:r>
          </w:p>
        </w:tc>
      </w:tr>
      <w:tr w:rsidR="00D0448D" w14:paraId="6505D53D" w14:textId="77777777" w:rsidTr="00B33228">
        <w:tc>
          <w:tcPr>
            <w:tcW w:w="1985" w:type="dxa"/>
          </w:tcPr>
          <w:p w14:paraId="0462681A" w14:textId="5D52AA0F" w:rsidR="00D0448D" w:rsidRPr="00D0448D" w:rsidRDefault="00D0448D" w:rsidP="00D0448D">
            <w:pPr>
              <w:jc w:val="center"/>
              <w:rPr>
                <w:b/>
                <w:bCs/>
                <w:sz w:val="24"/>
                <w:szCs w:val="24"/>
                <w:lang w:val="en-US"/>
              </w:rPr>
            </w:pPr>
            <w:r w:rsidRPr="00D0448D">
              <w:rPr>
                <w:b/>
                <w:bCs/>
                <w:sz w:val="24"/>
                <w:szCs w:val="24"/>
                <w:lang w:val="en-US"/>
              </w:rPr>
              <w:t>2022/23</w:t>
            </w:r>
          </w:p>
        </w:tc>
        <w:tc>
          <w:tcPr>
            <w:tcW w:w="2528" w:type="dxa"/>
          </w:tcPr>
          <w:p w14:paraId="4E4056F4" w14:textId="0243D440" w:rsidR="00D0448D" w:rsidRDefault="00D0448D" w:rsidP="00D0448D">
            <w:pPr>
              <w:jc w:val="center"/>
              <w:rPr>
                <w:sz w:val="24"/>
                <w:szCs w:val="24"/>
                <w:lang w:val="en-US"/>
              </w:rPr>
            </w:pPr>
            <w:r>
              <w:rPr>
                <w:sz w:val="24"/>
                <w:szCs w:val="24"/>
                <w:lang w:val="en-US"/>
              </w:rPr>
              <w:t>TBC</w:t>
            </w:r>
          </w:p>
        </w:tc>
        <w:tc>
          <w:tcPr>
            <w:tcW w:w="2858" w:type="dxa"/>
          </w:tcPr>
          <w:p w14:paraId="1554C09C" w14:textId="2AB415F6" w:rsidR="00D0448D" w:rsidRDefault="00D0448D" w:rsidP="00D0448D">
            <w:pPr>
              <w:jc w:val="center"/>
              <w:rPr>
                <w:sz w:val="24"/>
                <w:szCs w:val="24"/>
                <w:lang w:val="en-US"/>
              </w:rPr>
            </w:pPr>
            <w:r>
              <w:rPr>
                <w:sz w:val="24"/>
                <w:szCs w:val="24"/>
                <w:lang w:val="en-US"/>
              </w:rPr>
              <w:t>TBC</w:t>
            </w:r>
          </w:p>
        </w:tc>
        <w:tc>
          <w:tcPr>
            <w:tcW w:w="1701" w:type="dxa"/>
          </w:tcPr>
          <w:p w14:paraId="6F6DDEB6" w14:textId="1E1A2F36" w:rsidR="00D0448D" w:rsidRDefault="00D0448D" w:rsidP="00D0448D">
            <w:pPr>
              <w:jc w:val="center"/>
              <w:rPr>
                <w:sz w:val="24"/>
                <w:szCs w:val="24"/>
                <w:lang w:val="en-US"/>
              </w:rPr>
            </w:pPr>
            <w:r>
              <w:rPr>
                <w:sz w:val="24"/>
                <w:szCs w:val="24"/>
                <w:lang w:val="en-US"/>
              </w:rPr>
              <w:t>TBC</w:t>
            </w:r>
          </w:p>
        </w:tc>
      </w:tr>
      <w:tr w:rsidR="00D0448D" w14:paraId="1AB84D1B" w14:textId="77777777" w:rsidTr="00B33228">
        <w:tc>
          <w:tcPr>
            <w:tcW w:w="1985" w:type="dxa"/>
          </w:tcPr>
          <w:p w14:paraId="2BD27F5F" w14:textId="0C2720FF" w:rsidR="00D0448D" w:rsidRPr="00D0448D" w:rsidRDefault="00D0448D" w:rsidP="00D0448D">
            <w:pPr>
              <w:jc w:val="center"/>
              <w:rPr>
                <w:b/>
                <w:bCs/>
                <w:sz w:val="24"/>
                <w:szCs w:val="24"/>
                <w:lang w:val="en-US"/>
              </w:rPr>
            </w:pPr>
            <w:r w:rsidRPr="00D0448D">
              <w:rPr>
                <w:b/>
                <w:bCs/>
                <w:sz w:val="24"/>
                <w:szCs w:val="24"/>
                <w:lang w:val="en-US"/>
              </w:rPr>
              <w:t>2023/24</w:t>
            </w:r>
          </w:p>
        </w:tc>
        <w:tc>
          <w:tcPr>
            <w:tcW w:w="2528" w:type="dxa"/>
          </w:tcPr>
          <w:p w14:paraId="456D1CCE" w14:textId="1AE82BE7" w:rsidR="00D0448D" w:rsidRDefault="00D0448D" w:rsidP="00D0448D">
            <w:pPr>
              <w:jc w:val="center"/>
              <w:rPr>
                <w:sz w:val="24"/>
                <w:szCs w:val="24"/>
                <w:lang w:val="en-US"/>
              </w:rPr>
            </w:pPr>
            <w:r>
              <w:rPr>
                <w:sz w:val="24"/>
                <w:szCs w:val="24"/>
                <w:lang w:val="en-US"/>
              </w:rPr>
              <w:t>TBC</w:t>
            </w:r>
          </w:p>
        </w:tc>
        <w:tc>
          <w:tcPr>
            <w:tcW w:w="2858" w:type="dxa"/>
          </w:tcPr>
          <w:p w14:paraId="05F6D4A5" w14:textId="287E6075" w:rsidR="00D0448D" w:rsidRDefault="00D0448D" w:rsidP="00D0448D">
            <w:pPr>
              <w:jc w:val="center"/>
              <w:rPr>
                <w:sz w:val="24"/>
                <w:szCs w:val="24"/>
                <w:lang w:val="en-US"/>
              </w:rPr>
            </w:pPr>
            <w:r>
              <w:rPr>
                <w:sz w:val="24"/>
                <w:szCs w:val="24"/>
                <w:lang w:val="en-US"/>
              </w:rPr>
              <w:t>TBC</w:t>
            </w:r>
          </w:p>
        </w:tc>
        <w:tc>
          <w:tcPr>
            <w:tcW w:w="1701" w:type="dxa"/>
          </w:tcPr>
          <w:p w14:paraId="69486E31" w14:textId="0C4D1C54" w:rsidR="00D0448D" w:rsidRDefault="00D0448D" w:rsidP="00D0448D">
            <w:pPr>
              <w:jc w:val="center"/>
              <w:rPr>
                <w:sz w:val="24"/>
                <w:szCs w:val="24"/>
                <w:lang w:val="en-US"/>
              </w:rPr>
            </w:pPr>
            <w:r>
              <w:rPr>
                <w:sz w:val="24"/>
                <w:szCs w:val="24"/>
                <w:lang w:val="en-US"/>
              </w:rPr>
              <w:t>TBC</w:t>
            </w:r>
          </w:p>
        </w:tc>
      </w:tr>
      <w:tr w:rsidR="00D0448D" w14:paraId="5427C50D" w14:textId="77777777" w:rsidTr="00B33228">
        <w:tc>
          <w:tcPr>
            <w:tcW w:w="1985" w:type="dxa"/>
          </w:tcPr>
          <w:p w14:paraId="2B72CF97" w14:textId="77777777" w:rsidR="00D0448D" w:rsidRPr="00D0448D" w:rsidRDefault="00D0448D" w:rsidP="00D0448D">
            <w:pPr>
              <w:jc w:val="center"/>
              <w:rPr>
                <w:b/>
                <w:bCs/>
                <w:sz w:val="24"/>
                <w:szCs w:val="24"/>
                <w:lang w:val="en-US"/>
              </w:rPr>
            </w:pPr>
          </w:p>
        </w:tc>
        <w:tc>
          <w:tcPr>
            <w:tcW w:w="2528" w:type="dxa"/>
          </w:tcPr>
          <w:p w14:paraId="6E9291F8" w14:textId="77777777" w:rsidR="00D0448D" w:rsidRDefault="00D0448D" w:rsidP="00D0448D">
            <w:pPr>
              <w:jc w:val="center"/>
              <w:rPr>
                <w:sz w:val="24"/>
                <w:szCs w:val="24"/>
                <w:lang w:val="en-US"/>
              </w:rPr>
            </w:pPr>
          </w:p>
        </w:tc>
        <w:tc>
          <w:tcPr>
            <w:tcW w:w="2858" w:type="dxa"/>
          </w:tcPr>
          <w:p w14:paraId="07F6C731" w14:textId="77777777" w:rsidR="00D0448D" w:rsidRDefault="00D0448D" w:rsidP="00D0448D">
            <w:pPr>
              <w:jc w:val="center"/>
              <w:rPr>
                <w:sz w:val="24"/>
                <w:szCs w:val="24"/>
                <w:lang w:val="en-US"/>
              </w:rPr>
            </w:pPr>
          </w:p>
        </w:tc>
        <w:tc>
          <w:tcPr>
            <w:tcW w:w="1701" w:type="dxa"/>
          </w:tcPr>
          <w:p w14:paraId="21444C17" w14:textId="77777777" w:rsidR="00D0448D" w:rsidRDefault="00D0448D" w:rsidP="00D0448D">
            <w:pPr>
              <w:jc w:val="center"/>
              <w:rPr>
                <w:sz w:val="24"/>
                <w:szCs w:val="24"/>
                <w:lang w:val="en-US"/>
              </w:rPr>
            </w:pPr>
          </w:p>
        </w:tc>
      </w:tr>
    </w:tbl>
    <w:p w14:paraId="252281EB" w14:textId="26E130FD" w:rsidR="009B71CE" w:rsidRDefault="00D0448D">
      <w:pPr>
        <w:rPr>
          <w:sz w:val="24"/>
          <w:szCs w:val="24"/>
          <w:lang w:val="en-US"/>
        </w:rPr>
      </w:pPr>
      <w:r>
        <w:rPr>
          <w:sz w:val="24"/>
          <w:szCs w:val="24"/>
          <w:lang w:val="en-US"/>
        </w:rPr>
        <w:t xml:space="preserve"> </w:t>
      </w:r>
    </w:p>
    <w:p w14:paraId="282112C8" w14:textId="17DA5754" w:rsidR="00D0448D" w:rsidRDefault="00D0448D">
      <w:pPr>
        <w:rPr>
          <w:sz w:val="24"/>
          <w:szCs w:val="24"/>
          <w:lang w:val="en-US"/>
        </w:rPr>
      </w:pPr>
    </w:p>
    <w:p w14:paraId="02EE0213" w14:textId="7FD2385D" w:rsidR="00D0448D" w:rsidRDefault="00D0448D">
      <w:pPr>
        <w:rPr>
          <w:sz w:val="24"/>
          <w:szCs w:val="24"/>
          <w:lang w:val="en-US"/>
        </w:rPr>
      </w:pPr>
    </w:p>
    <w:p w14:paraId="3EC94119" w14:textId="49D3297C" w:rsidR="00D0448D" w:rsidRDefault="00D0448D">
      <w:pPr>
        <w:rPr>
          <w:sz w:val="24"/>
          <w:szCs w:val="24"/>
          <w:lang w:val="en-US"/>
        </w:rPr>
      </w:pPr>
    </w:p>
    <w:p w14:paraId="44EB45E0" w14:textId="10E47553" w:rsidR="00D0448D" w:rsidRDefault="00D0448D">
      <w:pPr>
        <w:rPr>
          <w:sz w:val="24"/>
          <w:szCs w:val="24"/>
          <w:lang w:val="en-US"/>
        </w:rPr>
      </w:pPr>
    </w:p>
    <w:p w14:paraId="1E279BE3" w14:textId="54E2D9E3" w:rsidR="00D0448D" w:rsidRDefault="00D0448D" w:rsidP="00D0448D">
      <w:pPr>
        <w:jc w:val="right"/>
        <w:rPr>
          <w:sz w:val="24"/>
          <w:szCs w:val="24"/>
          <w:lang w:val="en-US"/>
        </w:rPr>
      </w:pPr>
      <w:r>
        <w:rPr>
          <w:sz w:val="24"/>
          <w:szCs w:val="24"/>
          <w:lang w:val="en-US"/>
        </w:rPr>
        <w:t>DRAFT 1</w:t>
      </w:r>
    </w:p>
    <w:p w14:paraId="591CEBEE" w14:textId="6D5EE6E0" w:rsidR="00D0448D" w:rsidRPr="00E9679C" w:rsidRDefault="00D0448D" w:rsidP="00D0448D">
      <w:pPr>
        <w:jc w:val="right"/>
        <w:rPr>
          <w:sz w:val="24"/>
          <w:szCs w:val="24"/>
          <w:lang w:val="en-US"/>
        </w:rPr>
      </w:pPr>
      <w:r>
        <w:rPr>
          <w:sz w:val="24"/>
          <w:szCs w:val="24"/>
          <w:lang w:val="en-US"/>
        </w:rPr>
        <w:t>25</w:t>
      </w:r>
      <w:r w:rsidRPr="00D0448D">
        <w:rPr>
          <w:sz w:val="24"/>
          <w:szCs w:val="24"/>
          <w:vertAlign w:val="superscript"/>
          <w:lang w:val="en-US"/>
        </w:rPr>
        <w:t>th</w:t>
      </w:r>
      <w:r>
        <w:rPr>
          <w:sz w:val="24"/>
          <w:szCs w:val="24"/>
          <w:lang w:val="en-US"/>
        </w:rPr>
        <w:t xml:space="preserve"> March 2021</w:t>
      </w:r>
    </w:p>
    <w:sectPr w:rsidR="00D0448D" w:rsidRPr="00E96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581"/>
    <w:multiLevelType w:val="hybridMultilevel"/>
    <w:tmpl w:val="77E6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3811CFD"/>
    <w:multiLevelType w:val="multilevel"/>
    <w:tmpl w:val="847ABF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4EE3A4D"/>
    <w:multiLevelType w:val="multilevel"/>
    <w:tmpl w:val="BCB052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6F1967D3"/>
    <w:multiLevelType w:val="hybridMultilevel"/>
    <w:tmpl w:val="61427DD2"/>
    <w:lvl w:ilvl="0" w:tplc="073E360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CE"/>
    <w:rsid w:val="00121275"/>
    <w:rsid w:val="002D0BBA"/>
    <w:rsid w:val="00372D06"/>
    <w:rsid w:val="004C2912"/>
    <w:rsid w:val="00707625"/>
    <w:rsid w:val="00745E2A"/>
    <w:rsid w:val="009A2489"/>
    <w:rsid w:val="009B06A6"/>
    <w:rsid w:val="009B71CE"/>
    <w:rsid w:val="00B33228"/>
    <w:rsid w:val="00B643C9"/>
    <w:rsid w:val="00D0448D"/>
    <w:rsid w:val="00DE121C"/>
    <w:rsid w:val="00E9679C"/>
    <w:rsid w:val="00F01175"/>
    <w:rsid w:val="00FC0E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31EE"/>
  <w15:chartTrackingRefBased/>
  <w15:docId w15:val="{A9718846-5ED6-46E9-8850-82F7C8B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33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71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B71CE"/>
  </w:style>
  <w:style w:type="character" w:customStyle="1" w:styleId="eop">
    <w:name w:val="eop"/>
    <w:basedOn w:val="DefaultParagraphFont"/>
    <w:rsid w:val="009B71CE"/>
  </w:style>
  <w:style w:type="paragraph" w:styleId="ListParagraph">
    <w:name w:val="List Paragraph"/>
    <w:basedOn w:val="Normal"/>
    <w:uiPriority w:val="34"/>
    <w:qFormat/>
    <w:rsid w:val="00E9679C"/>
    <w:pPr>
      <w:ind w:left="720"/>
      <w:contextualSpacing/>
    </w:pPr>
  </w:style>
  <w:style w:type="table" w:styleId="TableGrid">
    <w:name w:val="Table Grid"/>
    <w:basedOn w:val="TableNormal"/>
    <w:uiPriority w:val="39"/>
    <w:rsid w:val="00D0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332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Thomas Russell</dc:creator>
  <cp:keywords/>
  <dc:description/>
  <cp:lastModifiedBy>Mary Banahan</cp:lastModifiedBy>
  <cp:revision>2</cp:revision>
  <dcterms:created xsi:type="dcterms:W3CDTF">2021-10-13T15:14:00Z</dcterms:created>
  <dcterms:modified xsi:type="dcterms:W3CDTF">2021-10-13T15:14:00Z</dcterms:modified>
</cp:coreProperties>
</file>